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29" w:rsidRDefault="00E91ABB">
      <w:pPr>
        <w:spacing w:line="360" w:lineRule="auto"/>
        <w:jc w:val="center"/>
        <w:rPr>
          <w:rStyle w:val="NormalCharacter"/>
          <w:rFonts w:ascii="Times New Roman" w:hAnsi="Times New Roman"/>
          <w:b/>
          <w:sz w:val="32"/>
          <w:szCs w:val="32"/>
        </w:rPr>
      </w:pPr>
      <w:r>
        <w:rPr>
          <w:rStyle w:val="NormalCharacter"/>
          <w:rFonts w:ascii="Times New Roman" w:hAnsi="Times New Roman"/>
          <w:b/>
          <w:sz w:val="32"/>
          <w:szCs w:val="32"/>
        </w:rPr>
        <w:t>企业</w:t>
      </w:r>
      <w:r w:rsidR="000F1804">
        <w:rPr>
          <w:rStyle w:val="NormalCharacter"/>
          <w:rFonts w:ascii="Times New Roman" w:hAnsi="Times New Roman" w:hint="eastAsia"/>
          <w:b/>
          <w:sz w:val="32"/>
          <w:szCs w:val="32"/>
        </w:rPr>
        <w:t>基础</w:t>
      </w:r>
      <w:r w:rsidR="000F1804">
        <w:rPr>
          <w:rStyle w:val="NormalCharacter"/>
          <w:rFonts w:ascii="Times New Roman" w:hAnsi="Times New Roman"/>
          <w:b/>
          <w:sz w:val="32"/>
          <w:szCs w:val="32"/>
        </w:rPr>
        <w:t>信息</w:t>
      </w:r>
      <w:r>
        <w:rPr>
          <w:rStyle w:val="NormalCharacter"/>
          <w:rFonts w:ascii="Times New Roman" w:hAnsi="Times New Roman"/>
          <w:b/>
          <w:sz w:val="32"/>
          <w:szCs w:val="32"/>
        </w:rPr>
        <w:t>表</w:t>
      </w:r>
    </w:p>
    <w:tbl>
      <w:tblPr>
        <w:tblW w:w="14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094"/>
        <w:gridCol w:w="857"/>
        <w:gridCol w:w="23"/>
        <w:gridCol w:w="1438"/>
        <w:gridCol w:w="1853"/>
        <w:gridCol w:w="1690"/>
        <w:gridCol w:w="65"/>
        <w:gridCol w:w="1755"/>
        <w:gridCol w:w="610"/>
        <w:gridCol w:w="1240"/>
        <w:gridCol w:w="1660"/>
        <w:gridCol w:w="1820"/>
      </w:tblGrid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广东大冶摩托车技术有限公司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91440700746269209U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所在地地址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江门市江海区金瓯路</w:t>
            </w:r>
            <w:r>
              <w:rPr>
                <w:sz w:val="24"/>
              </w:rPr>
              <w:t>188</w:t>
            </w:r>
            <w:r>
              <w:rPr>
                <w:sz w:val="24"/>
              </w:rPr>
              <w:t>号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地理坐标（中心）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经度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113.093611</w:t>
            </w:r>
          </w:p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纬度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22.613889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主要业务</w:t>
            </w:r>
          </w:p>
        </w:tc>
        <w:tc>
          <w:tcPr>
            <w:tcW w:w="1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摩托车产品生产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景文玲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0750-3883333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填表联系人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F87F10">
            <w:pPr>
              <w:jc w:val="left"/>
              <w:textAlignment w:val="auto"/>
              <w:rPr>
                <w:rStyle w:val="NormalCharacter"/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彭腾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15527352420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DC1C93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136564</w:t>
            </w:r>
            <w:bookmarkStart w:id="0" w:name="_GoBack"/>
            <w:bookmarkEnd w:id="0"/>
            <w:r w:rsidR="00E91ABB">
              <w:rPr>
                <w:sz w:val="24"/>
              </w:rPr>
              <w:t>万元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企业面积（平方米）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400000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建厂时间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2003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06</w:t>
            </w:r>
            <w:r>
              <w:rPr>
                <w:sz w:val="24"/>
              </w:rPr>
              <w:t>日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6D5096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人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行业类别（大类）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3751-</w:t>
            </w:r>
            <w:r>
              <w:rPr>
                <w:sz w:val="24"/>
              </w:rPr>
              <w:t>摩托车整车制造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行业类别（中类）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摩托车零部件、整车制造与销售</w:t>
            </w:r>
          </w:p>
        </w:tc>
      </w:tr>
      <w:tr w:rsidR="00B13829">
        <w:trPr>
          <w:trHeight w:val="62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登记注册类型</w:t>
            </w:r>
          </w:p>
        </w:tc>
        <w:tc>
          <w:tcPr>
            <w:tcW w:w="5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有限责任公司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年运行天数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B13829" w:rsidRDefault="00E91ABB">
            <w:pPr>
              <w:jc w:val="left"/>
              <w:textAlignment w:val="auto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293</w:t>
            </w:r>
          </w:p>
        </w:tc>
      </w:tr>
      <w:tr w:rsidR="00B13829">
        <w:trPr>
          <w:trHeight w:val="631"/>
          <w:jc w:val="center"/>
        </w:trPr>
        <w:tc>
          <w:tcPr>
            <w:tcW w:w="14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环境风险物质贮存情况</w:t>
            </w: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环境风险物质名称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产生环节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单元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CAS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号或</w:t>
            </w:r>
          </w:p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危废类别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年产生量</w:t>
            </w:r>
          </w:p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（吨）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最大</w:t>
            </w:r>
          </w:p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存在量（吨）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临界量（吨）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240" w:lineRule="atLeast"/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</w:rPr>
              <w:t>Q</w:t>
            </w: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废有机溶剂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900-404-06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lastRenderedPageBreak/>
              <w:t>2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废矿物油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机加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900-249-08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3.25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3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废油漆渣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900-252-12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71.33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4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含染料废物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264-012-12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表面处理污泥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366-064-17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6.3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6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废活性炭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900-039-49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1.26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7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废过滤棉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900-041-49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6.91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8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废油漆桶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涂装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900-041-49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15.56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t>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70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jc w:val="center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相关情况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生产线数量</w:t>
            </w: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套</w:t>
            </w:r>
          </w:p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（如</w:t>
            </w: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套）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Cs/>
                <w:sz w:val="24"/>
                <w:szCs w:val="24"/>
              </w:rPr>
              <w:t>备注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涉及光气及光气化工艺、电解工艺（氯碱）、氯化工艺、硝化工艺、合成氨工艺、裂解（裂化）工艺、氟化工艺、加氢工艺、总氮化工艺、氧化工艺、过氧化工艺、胺基化工艺、磺化工艺、聚合工艺、烷基化工艺、新型煤化工工艺、电石生产工艺、偶氮化工艺等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其他高温（温度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≥300℃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）或高压（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p≥10.0MPa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）、涉及易燃易爆等物质的工艺过程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D06EA" w:rsidP="00BD06EA">
            <w:pPr>
              <w:snapToGrid w:val="0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具有国家规定限期淘汰的工艺名录和设备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相关情况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lastRenderedPageBreak/>
              <w:t>涉及有毒有害气体（如硫化氢、氰化氢、氯化氢、光气、氯气、氨气、苯等）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Pr="006D5096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6D5096">
              <w:rPr>
                <w:rStyle w:val="NormalCharacter"/>
                <w:rFonts w:ascii="Times New Roman" w:hAnsi="Times New Roman"/>
                <w:szCs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具备厂界有毒有害气体泄漏监控预警系统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Pr="006D5096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6D5096">
              <w:rPr>
                <w:rStyle w:val="NormalCharacter"/>
                <w:rFonts w:ascii="Times New Roman" w:hAnsi="Times New Roman"/>
                <w:szCs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每个环境风险单元均设有防渗漏、防腐蚀、防流失措施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6D5096">
              <w:rPr>
                <w:rStyle w:val="NormalCharacter"/>
                <w:rFonts w:ascii="Times New Roman" w:hAnsi="Times New Roman"/>
                <w:szCs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装置围堰区设有排水切换阀，且有专人负责切换或设置自动切换，维护良好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通过协议单位或自建管线，能将所收集废水进行处理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应急事故池在事故状态下能顺利收集泄漏物和消防水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涉及清净废水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厂区内清净废水均可排入废水处理系统，或清污分流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厂区内雨水均可排入废水处理系统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厂区内雨水实现雨污分流，且雨水排水系统设有切断阀或闸门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废水排放去向</w:t>
            </w:r>
          </w:p>
        </w:tc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直接进入海域；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ab/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直接进入江河湖、库等水环境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进入城市下水道（再入江河、湖、库）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进入城市下水道（再入沿海海域）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未依法取得污水排入排水管网许可，进入城市污水处理厂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ab/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依法取得污水排入排水管网许可，进入城市污水处理厂</w:t>
            </w: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ab/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直接进入污灌农田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lastRenderedPageBreak/>
              <w:t>进入地渗或蒸发地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工业废水集中处理厂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进入其它单位</w:t>
            </w:r>
          </w:p>
          <w:p w:rsidR="00B13829" w:rsidRDefault="00E91ABB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不产生废水或外排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D06EA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B13829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lastRenderedPageBreak/>
              <w:t>有生产废水，具有生产废水总排口监视及关闭设施，有专人负责开启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sz w:val="24"/>
                <w:szCs w:val="24"/>
              </w:rPr>
              <w:t>是否涉及危险废物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 xml:space="preserve">  o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收集、贮存危险废物的设施、场所，设置危险废物识别标志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场所应有雨棚、围堰或围墙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危险废物按种类分别收集存放，且不同类废物间有明显的间隔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按照危险废物特性进行分类贮存，未混合贮存性质不相容且未经安全性处置的危险废物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未将危险废物混入非危险废物中贮存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贮存容器符合标准且完好无损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贮存容器和包装物设置危险废物识别标志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贮存场所地面作硬化及防渗处理；设置废水导排管道或渠道，将冲洗废水纳入废水处理设施处理或危险废物管理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贮存液态或半固态废物的，需设置泄漏液体收集装置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建立危险废物贮存台账，并如实和规范记录危险废物贮存情况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lastRenderedPageBreak/>
              <w:t>有获得生态环境部门批准的转移计划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按照实际转移的危险废物，如实填写危险废物转移联单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危险废物转移联单保存齐全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  <w:tr w:rsidR="00B13829">
        <w:trPr>
          <w:trHeight w:val="532"/>
          <w:jc w:val="center"/>
        </w:trPr>
        <w:tc>
          <w:tcPr>
            <w:tcW w:w="8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pacing w:line="300" w:lineRule="exact"/>
              <w:rPr>
                <w:rStyle w:val="NormalCharacter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Style w:val="NormalCharacter"/>
                <w:bCs/>
                <w:color w:val="000000"/>
                <w:kern w:val="0"/>
                <w:sz w:val="24"/>
              </w:rPr>
              <w:t>除贮存和自行利用处置的，全部提供或委托给持危险废物经营许可证的单位，并与之签订合同或协议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kern w:val="0"/>
                <w:sz w:val="24"/>
              </w:rPr>
              <w:t>o</w:t>
            </w:r>
            <w:r>
              <w:rPr>
                <w:rStyle w:val="NormalCharacter"/>
                <w:kern w:val="0"/>
                <w:sz w:val="24"/>
              </w:rPr>
              <w:t>有</w:t>
            </w:r>
            <w:r>
              <w:rPr>
                <w:rStyle w:val="NormalCharacter"/>
                <w:kern w:val="0"/>
                <w:sz w:val="24"/>
              </w:rPr>
              <w:t xml:space="preserve">  o</w:t>
            </w:r>
            <w:r>
              <w:rPr>
                <w:rStyle w:val="NormalCharacter"/>
                <w:kern w:val="0"/>
                <w:sz w:val="24"/>
              </w:rPr>
              <w:t>无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29" w:rsidRDefault="00E91ABB">
            <w:pPr>
              <w:snapToGrid w:val="0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是</w:t>
            </w:r>
          </w:p>
        </w:tc>
      </w:tr>
    </w:tbl>
    <w:p w:rsidR="00B13829" w:rsidRDefault="00B13829">
      <w:pPr>
        <w:snapToGrid w:val="0"/>
        <w:ind w:firstLineChars="150" w:firstLine="361"/>
        <w:jc w:val="center"/>
        <w:rPr>
          <w:rStyle w:val="NormalCharacter"/>
          <w:rFonts w:ascii="Times New Roman" w:hAnsi="Times New Roman"/>
          <w:b/>
          <w:sz w:val="24"/>
          <w:szCs w:val="24"/>
        </w:rPr>
      </w:pPr>
    </w:p>
    <w:p w:rsidR="00B13829" w:rsidRDefault="00B13829">
      <w:pPr>
        <w:rPr>
          <w:rStyle w:val="NormalCharacter"/>
          <w:rFonts w:ascii="Times New Roman" w:hAnsi="Times New Roman"/>
        </w:rPr>
      </w:pPr>
    </w:p>
    <w:p w:rsidR="00B13829" w:rsidRDefault="00B13829">
      <w:pPr>
        <w:spacing w:line="360" w:lineRule="auto"/>
        <w:rPr>
          <w:rStyle w:val="NormalCharacter"/>
          <w:rFonts w:ascii="Times New Roman" w:hAnsi="Times New Roman"/>
          <w:kern w:val="0"/>
          <w:sz w:val="24"/>
          <w:szCs w:val="24"/>
        </w:rPr>
      </w:pPr>
    </w:p>
    <w:sectPr w:rsidR="00B13829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F6" w:rsidRDefault="001029F6" w:rsidP="00BD06EA">
      <w:r>
        <w:separator/>
      </w:r>
    </w:p>
  </w:endnote>
  <w:endnote w:type="continuationSeparator" w:id="0">
    <w:p w:rsidR="001029F6" w:rsidRDefault="001029F6" w:rsidP="00BD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F6" w:rsidRDefault="001029F6" w:rsidP="00BD06EA">
      <w:r>
        <w:separator/>
      </w:r>
    </w:p>
  </w:footnote>
  <w:footnote w:type="continuationSeparator" w:id="0">
    <w:p w:rsidR="001029F6" w:rsidRDefault="001029F6" w:rsidP="00BD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1A2A06"/>
    <w:multiLevelType w:val="singleLevel"/>
    <w:tmpl w:val="E51A2A06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29"/>
    <w:rsid w:val="000F1804"/>
    <w:rsid w:val="001029F6"/>
    <w:rsid w:val="001C7968"/>
    <w:rsid w:val="006D5096"/>
    <w:rsid w:val="00B13829"/>
    <w:rsid w:val="00BD06EA"/>
    <w:rsid w:val="00DC1C93"/>
    <w:rsid w:val="00E91ABB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6848ED-7363-4976-9E77-0C79D145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C15152</dc:creator>
  <cp:lastModifiedBy>C15152</cp:lastModifiedBy>
  <cp:revision>3</cp:revision>
  <dcterms:created xsi:type="dcterms:W3CDTF">2021-12-06T06:18:00Z</dcterms:created>
  <dcterms:modified xsi:type="dcterms:W3CDTF">2021-12-06T07:19:00Z</dcterms:modified>
</cp:coreProperties>
</file>